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FB" w:rsidRDefault="00792EFB" w:rsidP="00E122B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5" o:title=""/>
          </v:shape>
        </w:pict>
      </w:r>
    </w:p>
    <w:p w:rsidR="00792EFB" w:rsidRDefault="00792EFB" w:rsidP="00BB24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EFB" w:rsidRPr="00BB241A" w:rsidRDefault="00792EFB" w:rsidP="00BB241A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4"/>
          <w:lang w:eastAsia="ru-RU"/>
        </w:rPr>
      </w:pPr>
    </w:p>
    <w:p w:rsidR="00792EFB" w:rsidRPr="00BB241A" w:rsidRDefault="00792EFB" w:rsidP="00BB241A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4"/>
          <w:lang w:eastAsia="ru-RU"/>
        </w:rPr>
      </w:pPr>
    </w:p>
    <w:p w:rsidR="00792EFB" w:rsidRPr="00BB241A" w:rsidRDefault="00792EFB" w:rsidP="00BB2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241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  <w:lang w:eastAsia="ru-RU"/>
        </w:rPr>
        <w:t>АЧУЕВ</w:t>
      </w:r>
      <w:r w:rsidRPr="00BB241A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792EFB" w:rsidRPr="00BB241A" w:rsidRDefault="00792EFB" w:rsidP="00BB2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241A">
        <w:rPr>
          <w:rFonts w:ascii="Times New Roman" w:hAnsi="Times New Roman"/>
          <w:b/>
          <w:sz w:val="24"/>
          <w:szCs w:val="24"/>
          <w:lang w:eastAsia="ru-RU"/>
        </w:rPr>
        <w:t>СЛАВЯНСКОГО РАЙОНА</w:t>
      </w:r>
    </w:p>
    <w:p w:rsidR="00792EFB" w:rsidRPr="00BB241A" w:rsidRDefault="00792EFB" w:rsidP="00BB24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241A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792EFB" w:rsidRPr="00BB241A" w:rsidRDefault="00792EFB" w:rsidP="00BB2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241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92EFB" w:rsidRPr="00B56A6C" w:rsidRDefault="00792EFB" w:rsidP="00BB241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92EFB" w:rsidRPr="00B56A6C" w:rsidRDefault="00792EFB" w:rsidP="00B56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20.01.2020 год</w:t>
      </w:r>
      <w:r w:rsidRPr="00B56A6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№ 13</w:t>
      </w:r>
    </w:p>
    <w:p w:rsidR="00792EFB" w:rsidRPr="00B56A6C" w:rsidRDefault="00792EFB" w:rsidP="00BB241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92EFB" w:rsidRPr="00BB241A" w:rsidRDefault="00792EFB" w:rsidP="00BB241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село Ачуево</w:t>
      </w:r>
    </w:p>
    <w:p w:rsidR="00792EFB" w:rsidRDefault="00792EFB" w:rsidP="00E122B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92EFB" w:rsidRDefault="00792EFB" w:rsidP="00E122B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792EFB" w:rsidRPr="00E122B9" w:rsidRDefault="00792EFB" w:rsidP="00E122B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sz w:val="28"/>
          <w:szCs w:val="28"/>
          <w:lang w:eastAsia="ar-SA"/>
        </w:rPr>
        <w:t>Об утверждении муни</w:t>
      </w:r>
      <w:r>
        <w:rPr>
          <w:rFonts w:ascii="Times New Roman" w:hAnsi="Times New Roman"/>
          <w:b/>
          <w:sz w:val="28"/>
          <w:szCs w:val="28"/>
          <w:lang w:eastAsia="ar-SA"/>
        </w:rPr>
        <w:t>ципальной программы «Увековече</w:t>
      </w:r>
      <w:r w:rsidRPr="00E122B9">
        <w:rPr>
          <w:rFonts w:ascii="Times New Roman" w:hAnsi="Times New Roman"/>
          <w:b/>
          <w:sz w:val="28"/>
          <w:szCs w:val="28"/>
          <w:lang w:eastAsia="ar-SA"/>
        </w:rPr>
        <w:t xml:space="preserve">ние памяти погибших при защите Отечества на территории </w:t>
      </w:r>
      <w:r>
        <w:rPr>
          <w:rFonts w:ascii="Times New Roman" w:hAnsi="Times New Roman"/>
          <w:b/>
          <w:sz w:val="28"/>
          <w:szCs w:val="28"/>
          <w:lang w:eastAsia="ar-SA"/>
        </w:rPr>
        <w:t>Ачуевского</w:t>
      </w:r>
      <w:r w:rsidRPr="00E122B9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Славянского района на </w:t>
      </w:r>
      <w:r>
        <w:rPr>
          <w:rFonts w:ascii="Times New Roman" w:hAnsi="Times New Roman"/>
          <w:b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2B9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14 января 1993 года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22B9">
        <w:rPr>
          <w:rFonts w:ascii="Times New Roman" w:hAnsi="Times New Roman"/>
          <w:color w:val="000000"/>
          <w:sz w:val="28"/>
          <w:szCs w:val="28"/>
          <w:lang w:eastAsia="ru-RU"/>
        </w:rPr>
        <w:t>4292-1 «Об увековечивании памяти погибших при защите Отечества» в целях реализации федерально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целевой программы «Увековече</w:t>
      </w:r>
      <w:r w:rsidRPr="00E122B9">
        <w:rPr>
          <w:rFonts w:ascii="Times New Roman" w:hAnsi="Times New Roman"/>
          <w:color w:val="000000"/>
          <w:sz w:val="28"/>
          <w:szCs w:val="28"/>
          <w:lang w:eastAsia="ru-RU"/>
        </w:rPr>
        <w:t>ние памяти погибших при защите Отечества на 2019-2024 годы», утвержденной постановлением правительства Российской Федерации  от 09.08.2019 №1036</w:t>
      </w:r>
    </w:p>
    <w:p w:rsidR="00792EFB" w:rsidRPr="00E122B9" w:rsidRDefault="00792EFB" w:rsidP="00E12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792EFB" w:rsidRPr="00E122B9" w:rsidRDefault="00792EFB" w:rsidP="00E122B9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1.Утвердить муни</w:t>
      </w:r>
      <w:r>
        <w:rPr>
          <w:rFonts w:ascii="Times New Roman" w:hAnsi="Times New Roman"/>
          <w:sz w:val="28"/>
          <w:szCs w:val="28"/>
          <w:lang w:eastAsia="ar-SA"/>
        </w:rPr>
        <w:t>ципальную программу «Увековече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ние памяти погибших при защите Отечества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Ачуевского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Славянского района 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>».</w:t>
      </w:r>
    </w:p>
    <w:p w:rsidR="00792EFB" w:rsidRPr="00E122B9" w:rsidRDefault="00792EFB" w:rsidP="00E122B9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E122B9">
        <w:rPr>
          <w:rFonts w:ascii="Times New Roman" w:hAnsi="Times New Roman"/>
          <w:sz w:val="28"/>
          <w:szCs w:val="24"/>
          <w:lang w:eastAsia="ar-SA"/>
        </w:rPr>
        <w:t xml:space="preserve">2. Общему отделу администрации </w:t>
      </w:r>
      <w:r>
        <w:rPr>
          <w:rFonts w:ascii="Times New Roman" w:hAnsi="Times New Roman"/>
          <w:sz w:val="28"/>
          <w:szCs w:val="24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4"/>
          <w:lang w:eastAsia="ar-SA"/>
        </w:rPr>
        <w:t>ского сельского поселения Славянского района (</w:t>
      </w:r>
      <w:r>
        <w:rPr>
          <w:rFonts w:ascii="Times New Roman" w:hAnsi="Times New Roman"/>
          <w:sz w:val="28"/>
          <w:szCs w:val="24"/>
          <w:lang w:eastAsia="ar-SA"/>
        </w:rPr>
        <w:t>Боровкова</w:t>
      </w:r>
      <w:r w:rsidRPr="00E122B9">
        <w:rPr>
          <w:rFonts w:ascii="Times New Roman" w:hAnsi="Times New Roman"/>
          <w:sz w:val="28"/>
          <w:szCs w:val="24"/>
          <w:lang w:eastAsia="ar-SA"/>
        </w:rPr>
        <w:t xml:space="preserve">) разместить на официальном сайте администрации </w:t>
      </w:r>
      <w:r>
        <w:rPr>
          <w:rFonts w:ascii="Times New Roman" w:hAnsi="Times New Roman"/>
          <w:sz w:val="28"/>
          <w:szCs w:val="24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4"/>
          <w:lang w:eastAsia="ar-SA"/>
        </w:rPr>
        <w:t>ского сельского поселения Славянского района в информационно - телекоммуникационной сети</w:t>
      </w:r>
      <w:r w:rsidRPr="00E122B9">
        <w:rPr>
          <w:rFonts w:ascii="Times New Roman" w:hAnsi="Times New Roman"/>
          <w:spacing w:val="-1"/>
          <w:sz w:val="28"/>
          <w:szCs w:val="24"/>
          <w:lang w:eastAsia="ar-SA"/>
        </w:rPr>
        <w:t xml:space="preserve"> </w:t>
      </w:r>
      <w:r w:rsidRPr="00E122B9">
        <w:rPr>
          <w:rFonts w:ascii="Times New Roman" w:hAnsi="Times New Roman"/>
          <w:sz w:val="28"/>
          <w:szCs w:val="24"/>
          <w:lang w:eastAsia="ar-SA"/>
        </w:rPr>
        <w:t>«Интернет».</w:t>
      </w:r>
    </w:p>
    <w:p w:rsidR="00792EFB" w:rsidRPr="00E122B9" w:rsidRDefault="00792EFB" w:rsidP="00E122B9">
      <w:pPr>
        <w:widowControl w:val="0"/>
        <w:tabs>
          <w:tab w:val="left" w:pos="112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E122B9">
        <w:rPr>
          <w:rFonts w:ascii="Times New Roman" w:hAnsi="Times New Roman"/>
          <w:sz w:val="28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792EFB" w:rsidRPr="00E122B9" w:rsidRDefault="00792EFB" w:rsidP="00E122B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E122B9">
        <w:rPr>
          <w:rFonts w:ascii="Times New Roman" w:hAnsi="Times New Roman"/>
          <w:sz w:val="28"/>
          <w:szCs w:val="24"/>
          <w:lang w:eastAsia="ar-SA"/>
        </w:rPr>
        <w:t>4.Постановление вступает в силу со дня его</w:t>
      </w:r>
      <w:r w:rsidRPr="00E122B9">
        <w:rPr>
          <w:rFonts w:ascii="Times New Roman" w:hAnsi="Times New Roman"/>
          <w:spacing w:val="-7"/>
          <w:sz w:val="28"/>
          <w:szCs w:val="24"/>
          <w:lang w:eastAsia="ar-SA"/>
        </w:rPr>
        <w:t xml:space="preserve"> </w:t>
      </w:r>
      <w:r w:rsidRPr="00E122B9">
        <w:rPr>
          <w:rFonts w:ascii="Times New Roman" w:hAnsi="Times New Roman"/>
          <w:sz w:val="28"/>
          <w:szCs w:val="24"/>
          <w:lang w:eastAsia="ar-SA"/>
        </w:rPr>
        <w:t>подписания.</w:t>
      </w:r>
    </w:p>
    <w:p w:rsidR="00792EFB" w:rsidRPr="00E122B9" w:rsidRDefault="00792EFB" w:rsidP="00E122B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792EFB" w:rsidRPr="00E122B9" w:rsidRDefault="00792EFB" w:rsidP="00E122B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792EFB" w:rsidRPr="00E122B9" w:rsidRDefault="00792EFB" w:rsidP="00E122B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792EFB" w:rsidRPr="00E122B9" w:rsidRDefault="00792EFB" w:rsidP="00E122B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Ачуев</w:t>
      </w:r>
      <w:r w:rsidRPr="00E122B9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792EFB" w:rsidRPr="00BB241A" w:rsidRDefault="00792EFB" w:rsidP="00BB241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Е.В.Теленьга</w:t>
      </w:r>
      <w:r w:rsidRPr="00E122B9">
        <w:rPr>
          <w:rFonts w:ascii="Times New Roman" w:hAnsi="Times New Roman"/>
          <w:sz w:val="28"/>
          <w:szCs w:val="28"/>
        </w:rPr>
        <w:t xml:space="preserve">  </w:t>
      </w:r>
    </w:p>
    <w:p w:rsidR="00792EFB" w:rsidRDefault="00792EFB" w:rsidP="00E122B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2EFB" w:rsidRPr="00E122B9" w:rsidRDefault="00792EFB" w:rsidP="00E122B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2EFB" w:rsidRPr="00E122B9" w:rsidRDefault="00792EFB" w:rsidP="00E122B9">
      <w:pPr>
        <w:widowControl w:val="0"/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792EFB" w:rsidRPr="00E122B9" w:rsidRDefault="00792EFB" w:rsidP="00E122B9">
      <w:pPr>
        <w:widowControl w:val="0"/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92EFB" w:rsidRPr="00E122B9" w:rsidRDefault="00792EFB" w:rsidP="00E122B9">
      <w:pPr>
        <w:widowControl w:val="0"/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УТВЕРЖДЕНА</w:t>
      </w:r>
    </w:p>
    <w:p w:rsidR="00792EFB" w:rsidRPr="00E122B9" w:rsidRDefault="00792EFB" w:rsidP="00E122B9">
      <w:pPr>
        <w:widowControl w:val="0"/>
        <w:spacing w:after="0" w:line="240" w:lineRule="auto"/>
        <w:ind w:left="4535" w:firstLine="71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122B9">
        <w:rPr>
          <w:rFonts w:ascii="Times New Roman" w:hAnsi="Times New Roman"/>
          <w:bCs/>
          <w:sz w:val="28"/>
          <w:szCs w:val="28"/>
          <w:lang w:eastAsia="ar-SA"/>
        </w:rPr>
        <w:t>к постановлению администрации</w:t>
      </w:r>
    </w:p>
    <w:p w:rsidR="00792EFB" w:rsidRPr="00E122B9" w:rsidRDefault="00792EFB" w:rsidP="00E122B9">
      <w:pPr>
        <w:widowControl w:val="0"/>
        <w:spacing w:after="0" w:line="240" w:lineRule="auto"/>
        <w:ind w:left="4535" w:firstLine="71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bCs/>
          <w:sz w:val="28"/>
          <w:szCs w:val="28"/>
          <w:lang w:eastAsia="ar-SA"/>
        </w:rPr>
        <w:t>ского сельского поселения</w:t>
      </w:r>
    </w:p>
    <w:p w:rsidR="00792EFB" w:rsidRPr="00E122B9" w:rsidRDefault="00792EFB" w:rsidP="00E122B9">
      <w:pPr>
        <w:widowControl w:val="0"/>
        <w:spacing w:after="0" w:line="240" w:lineRule="auto"/>
        <w:ind w:left="4535" w:firstLine="71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122B9">
        <w:rPr>
          <w:rFonts w:ascii="Times New Roman" w:hAnsi="Times New Roman"/>
          <w:bCs/>
          <w:sz w:val="28"/>
          <w:szCs w:val="28"/>
          <w:lang w:eastAsia="ar-SA"/>
        </w:rPr>
        <w:t>Славянского района</w:t>
      </w:r>
    </w:p>
    <w:p w:rsidR="00792EFB" w:rsidRPr="00E122B9" w:rsidRDefault="00792EFB" w:rsidP="00E122B9">
      <w:pPr>
        <w:widowControl w:val="0"/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от 20.01.2020 год № 13</w:t>
      </w:r>
    </w:p>
    <w:p w:rsidR="00792EFB" w:rsidRPr="00E122B9" w:rsidRDefault="00792EFB" w:rsidP="00E122B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ние памяти погибших при защите Отечества на 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>ского сельског</w:t>
      </w:r>
      <w:r>
        <w:rPr>
          <w:rFonts w:ascii="Times New Roman" w:hAnsi="Times New Roman"/>
          <w:sz w:val="28"/>
          <w:szCs w:val="28"/>
          <w:lang w:eastAsia="ar-SA"/>
        </w:rPr>
        <w:t xml:space="preserve">о поселения Славянского района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>»</w:t>
      </w:r>
    </w:p>
    <w:p w:rsidR="00792EFB" w:rsidRPr="00E122B9" w:rsidRDefault="00792EFB" w:rsidP="00E122B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sz w:val="28"/>
          <w:szCs w:val="28"/>
          <w:lang w:eastAsia="ar-SA"/>
        </w:rPr>
        <w:t>ПАСПОРТ</w:t>
      </w: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</w:t>
      </w: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ние памяти погибших при защите Отечества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>ского сельског</w:t>
      </w:r>
      <w:r>
        <w:rPr>
          <w:rFonts w:ascii="Times New Roman" w:hAnsi="Times New Roman"/>
          <w:sz w:val="28"/>
          <w:szCs w:val="28"/>
          <w:lang w:eastAsia="ar-SA"/>
        </w:rPr>
        <w:t xml:space="preserve">о поселения Славянского района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>»</w:t>
      </w:r>
    </w:p>
    <w:p w:rsidR="00792EFB" w:rsidRPr="00E122B9" w:rsidRDefault="00792EFB" w:rsidP="00E122B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60" w:type="dxa"/>
        <w:tblCellSpacing w:w="5" w:type="nil"/>
        <w:tblInd w:w="-1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125"/>
      </w:tblGrid>
      <w:tr w:rsidR="00792EFB" w:rsidRPr="00174FD7" w:rsidTr="00CC04B2">
        <w:trPr>
          <w:trHeight w:val="1118"/>
          <w:tblCellSpacing w:w="5" w:type="nil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Муни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ципальная программа «Увековече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ние памяти погибших при защите Отечества на 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Ачуев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ского сельского поселения Славянского района на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792EFB" w:rsidRPr="00E122B9" w:rsidRDefault="00792EFB" w:rsidP="00E122B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92EFB" w:rsidRPr="00E122B9" w:rsidRDefault="00792EFB" w:rsidP="00E122B9">
            <w:pPr>
              <w:widowControl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(далее – Программа)</w:t>
            </w:r>
          </w:p>
        </w:tc>
      </w:tr>
      <w:tr w:rsidR="00792EFB" w:rsidRPr="00174FD7" w:rsidTr="00CC04B2">
        <w:trPr>
          <w:tblCellSpacing w:w="5" w:type="nil"/>
        </w:trPr>
        <w:tc>
          <w:tcPr>
            <w:tcW w:w="2835" w:type="dxa"/>
            <w:tcBorders>
              <w:left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7125" w:type="dxa"/>
            <w:tcBorders>
              <w:left w:val="single" w:sz="4" w:space="0" w:color="D9D9D9"/>
              <w:right w:val="single" w:sz="4" w:space="0" w:color="D9D9D9"/>
            </w:tcBorders>
          </w:tcPr>
          <w:p w:rsidR="00792EFB" w:rsidRPr="00E122B9" w:rsidRDefault="00792EFB" w:rsidP="00C857EB">
            <w:pPr>
              <w:widowControl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Ачуев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 Славянского района</w:t>
            </w:r>
          </w:p>
        </w:tc>
      </w:tr>
      <w:tr w:rsidR="00792EFB" w:rsidRPr="00174FD7" w:rsidTr="00CC04B2">
        <w:trPr>
          <w:trHeight w:val="533"/>
          <w:tblCellSpacing w:w="5" w:type="nil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 Программы</w:t>
            </w:r>
          </w:p>
        </w:tc>
        <w:tc>
          <w:tcPr>
            <w:tcW w:w="7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C857EB">
            <w:pPr>
              <w:widowControl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Ачуев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 Славянского района</w:t>
            </w:r>
          </w:p>
        </w:tc>
      </w:tr>
      <w:tr w:rsidR="00792EFB" w:rsidRPr="00174FD7" w:rsidTr="00CC04B2">
        <w:trPr>
          <w:trHeight w:val="793"/>
          <w:tblCellSpacing w:w="5" w:type="nil"/>
        </w:trPr>
        <w:tc>
          <w:tcPr>
            <w:tcW w:w="283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12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предусмотрены </w:t>
            </w:r>
          </w:p>
        </w:tc>
      </w:tr>
      <w:tr w:rsidR="00792EFB" w:rsidRPr="00174FD7" w:rsidTr="00CC04B2">
        <w:trPr>
          <w:trHeight w:val="707"/>
          <w:tblCellSpacing w:w="5" w:type="nil"/>
        </w:trPr>
        <w:tc>
          <w:tcPr>
            <w:tcW w:w="283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12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792EFB" w:rsidRPr="00174FD7" w:rsidTr="00CC04B2">
        <w:trPr>
          <w:trHeight w:val="275"/>
          <w:tblCellSpacing w:w="5" w:type="nil"/>
        </w:trPr>
        <w:tc>
          <w:tcPr>
            <w:tcW w:w="283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12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Увековече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ние памяти погибших при защите Отечества </w:t>
            </w:r>
          </w:p>
        </w:tc>
      </w:tr>
      <w:tr w:rsidR="00792EFB" w:rsidRPr="00174FD7" w:rsidTr="00CC04B2">
        <w:trPr>
          <w:trHeight w:val="415"/>
          <w:tblCellSpacing w:w="5" w:type="nil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C85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Восстановление, (ремонт,  благоустройство) воинских захоронений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Ачуев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</w:t>
            </w:r>
          </w:p>
        </w:tc>
      </w:tr>
      <w:tr w:rsidR="00792EFB" w:rsidRPr="00174FD7" w:rsidTr="00CC04B2">
        <w:trPr>
          <w:trHeight w:val="411"/>
          <w:tblCellSpacing w:w="5" w:type="nil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Срок реализации Программы</w:t>
            </w:r>
          </w:p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792EFB" w:rsidRPr="00174FD7" w:rsidTr="00CC04B2">
        <w:trPr>
          <w:trHeight w:val="411"/>
          <w:tblCellSpacing w:w="5" w:type="nil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Объем и источники финансирования  Программы</w:t>
            </w:r>
          </w:p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 Программы из средств федерально, краевого и местного бюджета составит:</w:t>
            </w:r>
          </w:p>
          <w:p w:rsidR="00792EFB" w:rsidRPr="00E122B9" w:rsidRDefault="00792EFB" w:rsidP="000B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542,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089 тыс.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рублей</w:t>
            </w:r>
          </w:p>
        </w:tc>
      </w:tr>
      <w:tr w:rsidR="00792EFB" w:rsidRPr="00174FD7" w:rsidTr="00CC04B2">
        <w:trPr>
          <w:tblCellSpacing w:w="5" w:type="nil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Перевод из неудовлетворительного состояния действующих воинских захоронений;</w:t>
            </w:r>
          </w:p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популяризация и обеспечение доступа граждан к объектам культурного наследия.</w:t>
            </w:r>
          </w:p>
          <w:p w:rsidR="00792EFB" w:rsidRPr="00E122B9" w:rsidRDefault="00792EFB" w:rsidP="00E122B9">
            <w:pPr>
              <w:widowControl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92EFB" w:rsidRPr="00174FD7" w:rsidTr="00CC04B2">
        <w:trPr>
          <w:trHeight w:val="1765"/>
          <w:tblCellSpacing w:w="5" w:type="nil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 выполнением Программы</w:t>
            </w:r>
          </w:p>
        </w:tc>
        <w:tc>
          <w:tcPr>
            <w:tcW w:w="7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2EFB" w:rsidRPr="00E122B9" w:rsidRDefault="00792EFB" w:rsidP="00E122B9">
            <w:pPr>
              <w:widowControl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Ачуев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 Славянского района;</w:t>
            </w:r>
          </w:p>
          <w:p w:rsidR="00792EFB" w:rsidRPr="00E122B9" w:rsidRDefault="00792EFB" w:rsidP="00AF720D">
            <w:pPr>
              <w:widowControl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 Совет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Ачуев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 Славянского района</w:t>
            </w:r>
          </w:p>
        </w:tc>
      </w:tr>
    </w:tbl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BA5478" w:rsidRDefault="00792EFB" w:rsidP="00BA5478">
      <w:pPr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BA5478">
        <w:rPr>
          <w:rFonts w:ascii="Times New Roman" w:hAnsi="Times New Roman"/>
          <w:b/>
          <w:bCs/>
          <w:iCs/>
          <w:sz w:val="28"/>
          <w:szCs w:val="28"/>
          <w:lang w:eastAsia="ar-SA"/>
        </w:rPr>
        <w:t>Общая характеристика сферы реализации муниципальной программы,</w:t>
      </w:r>
    </w:p>
    <w:p w:rsidR="00792EFB" w:rsidRPr="00BA5478" w:rsidRDefault="00792EFB" w:rsidP="00BA5478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BA5478">
        <w:rPr>
          <w:rFonts w:ascii="Times New Roman" w:hAnsi="Times New Roman"/>
          <w:b/>
          <w:bCs/>
          <w:iCs/>
          <w:sz w:val="28"/>
          <w:szCs w:val="28"/>
          <w:lang w:eastAsia="ar-SA"/>
        </w:rPr>
        <w:t>в том числе основных проблем, и прогноз ее развития</w:t>
      </w:r>
    </w:p>
    <w:p w:rsidR="00792EFB" w:rsidRPr="00E122B9" w:rsidRDefault="00792EFB" w:rsidP="00E122B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по состоянию на 1 января </w:t>
      </w:r>
      <w:smartTag w:uri="urn:schemas-microsoft-com:office:smarttags" w:element="metricconverter">
        <w:smartTagPr>
          <w:attr w:name="ProductID" w:val="2020 г"/>
        </w:smartTagPr>
        <w:r w:rsidRPr="00E122B9">
          <w:rPr>
            <w:rFonts w:ascii="Times New Roman" w:hAnsi="Times New Roman"/>
            <w:sz w:val="28"/>
            <w:szCs w:val="28"/>
            <w:lang w:eastAsia="ar-SA"/>
          </w:rPr>
          <w:t>2020 г</w:t>
        </w:r>
      </w:smartTag>
      <w:r w:rsidRPr="00E122B9">
        <w:rPr>
          <w:rFonts w:ascii="Times New Roman" w:hAnsi="Times New Roman"/>
          <w:sz w:val="28"/>
          <w:szCs w:val="28"/>
          <w:lang w:eastAsia="ar-SA"/>
        </w:rPr>
        <w:t xml:space="preserve">. находится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 воинских захоронени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лиц, погибших при защите Отечества. Состояние памятников требуют проведения работ по восстановлению (ремонту, благоустройству), чтобы их облик стал достойным памяти погибших при защите Отечества. Территория памятников является местом проведения военно-патриотических мероприятий.</w:t>
      </w: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хуторе Слободка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  <w:lang w:eastAsia="ar-SA"/>
        </w:rPr>
        <w:t xml:space="preserve">мемориале </w:t>
      </w:r>
      <w:r w:rsidRPr="00AF720D">
        <w:rPr>
          <w:rFonts w:ascii="Times New Roman" w:hAnsi="Times New Roman"/>
          <w:sz w:val="28"/>
          <w:szCs w:val="28"/>
          <w:lang w:eastAsia="ar-SA"/>
        </w:rPr>
        <w:t xml:space="preserve">«Братская могила советских воинов, погибших в боях с фашистскими захватчиками, </w:t>
      </w:r>
      <w:smartTag w:uri="urn:schemas-microsoft-com:office:smarttags" w:element="metricconverter">
        <w:smartTagPr>
          <w:attr w:name="ProductID" w:val="1943 г"/>
        </w:smartTagPr>
        <w:r w:rsidRPr="00AF720D">
          <w:rPr>
            <w:rFonts w:ascii="Times New Roman" w:hAnsi="Times New Roman"/>
            <w:sz w:val="28"/>
            <w:szCs w:val="28"/>
            <w:lang w:eastAsia="ar-SA"/>
          </w:rPr>
          <w:t>1943 г</w:t>
        </w:r>
      </w:smartTag>
      <w:r w:rsidRPr="00AF720D">
        <w:rPr>
          <w:rFonts w:ascii="Times New Roman" w:hAnsi="Times New Roman"/>
          <w:sz w:val="28"/>
          <w:szCs w:val="28"/>
          <w:lang w:eastAsia="ar-SA"/>
        </w:rPr>
        <w:t>.»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Pr="00E122B9">
        <w:rPr>
          <w:rFonts w:ascii="Times New Roman" w:hAnsi="Times New Roman"/>
          <w:sz w:val="28"/>
          <w:szCs w:val="28"/>
          <w:lang w:eastAsia="ar-SA"/>
        </w:rPr>
        <w:t>установлен</w:t>
      </w:r>
      <w:r>
        <w:rPr>
          <w:rFonts w:ascii="Times New Roman" w:hAnsi="Times New Roman"/>
          <w:sz w:val="28"/>
          <w:szCs w:val="28"/>
          <w:lang w:eastAsia="ar-SA"/>
        </w:rPr>
        <w:t>ное количество захороненных солдат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. Мемориальный комплекс является центром сохранения памяти о войне для </w:t>
      </w:r>
      <w:r>
        <w:rPr>
          <w:rFonts w:ascii="Times New Roman" w:hAnsi="Times New Roman"/>
          <w:sz w:val="28"/>
          <w:szCs w:val="28"/>
          <w:lang w:eastAsia="ar-SA"/>
        </w:rPr>
        <w:t>хутора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. На территории мемориального комплекса проводятся все патриотические мероприятия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казённого учреждения культуры Сельского Дома Культуры «Ачуево»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, празднование основных памятных дат в истории России, Краснодарского края и Славянского района. </w:t>
      </w:r>
    </w:p>
    <w:p w:rsidR="00792EFB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Братская могила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советских воинов была устроена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гражданского кладбища х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Слободка</w:t>
      </w:r>
      <w:r w:rsidRPr="00E122B9">
        <w:rPr>
          <w:rFonts w:ascii="Times New Roman" w:hAnsi="Times New Roman"/>
          <w:sz w:val="28"/>
          <w:szCs w:val="28"/>
          <w:lang w:eastAsia="ar-SA"/>
        </w:rPr>
        <w:t>. Жители свято чтут память о погибших фронтовиках, принимают самое активное участие в военно-патриотических мероприятиях.</w:t>
      </w:r>
    </w:p>
    <w:p w:rsidR="00792EFB" w:rsidRPr="00E122B9" w:rsidRDefault="00792EFB" w:rsidP="00C4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Также на территории Ачуевского сельского поселения расположена м</w:t>
      </w:r>
      <w:r w:rsidRPr="00C45624">
        <w:rPr>
          <w:rFonts w:ascii="Times New Roman" w:hAnsi="Times New Roman"/>
          <w:sz w:val="28"/>
          <w:szCs w:val="28"/>
          <w:lang w:eastAsia="ar-SA"/>
        </w:rPr>
        <w:t xml:space="preserve">огила А. Чистякова, летчика, погибшего в бою с фашистскими захватчиками, 1943., перезахоронение </w:t>
      </w:r>
      <w:smartTag w:uri="urn:schemas-microsoft-com:office:smarttags" w:element="metricconverter">
        <w:smartTagPr>
          <w:attr w:name="ProductID" w:val="2005 г"/>
        </w:smartTagPr>
        <w:r w:rsidRPr="00C45624">
          <w:rPr>
            <w:rFonts w:ascii="Times New Roman" w:hAnsi="Times New Roman"/>
            <w:sz w:val="28"/>
            <w:szCs w:val="28"/>
            <w:lang w:eastAsia="ar-SA"/>
          </w:rPr>
          <w:t>2005 г</w:t>
        </w:r>
      </w:smartTag>
      <w:r w:rsidRPr="00C45624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, расположена на мемориале</w:t>
      </w:r>
      <w:r w:rsidRPr="00C45624">
        <w:rPr>
          <w:rFonts w:ascii="Times New Roman" w:hAnsi="Times New Roman"/>
          <w:sz w:val="28"/>
          <w:szCs w:val="28"/>
          <w:lang w:eastAsia="ar-SA"/>
        </w:rPr>
        <w:t xml:space="preserve"> «Воинам погибшим в годы Великой Отечественной войны»</w:t>
      </w:r>
      <w:r>
        <w:rPr>
          <w:rFonts w:ascii="Times New Roman" w:hAnsi="Times New Roman"/>
          <w:sz w:val="28"/>
          <w:szCs w:val="28"/>
          <w:lang w:eastAsia="ar-SA"/>
        </w:rPr>
        <w:t xml:space="preserve"> - которая тоже требует косметического ремонта, так как на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территории мемориального комплекса </w:t>
      </w:r>
      <w:r>
        <w:rPr>
          <w:rFonts w:ascii="Times New Roman" w:hAnsi="Times New Roman"/>
          <w:sz w:val="28"/>
          <w:szCs w:val="28"/>
          <w:lang w:eastAsia="ar-SA"/>
        </w:rPr>
        <w:t xml:space="preserve">также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проводятся все патриотические мероприятия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казённого учреждения культуры Сельского Дома Культуры «Ачуево»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, празднование основных памятных дат в истории России, Краснодарского края и Славянского района. </w:t>
      </w: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Муни</w:t>
      </w:r>
      <w:r>
        <w:rPr>
          <w:rFonts w:ascii="Times New Roman" w:hAnsi="Times New Roman"/>
          <w:sz w:val="28"/>
          <w:szCs w:val="28"/>
          <w:lang w:eastAsia="ar-SA"/>
        </w:rPr>
        <w:t>ципальная программа "Увековече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ние памяти погибших при защите Отечества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Ачуевского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Славянского района 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" призвана обеспечить комплексный подход к решению проблемы обустройства мест захоронения погибших при защите Отечества, приведения в надлежащее состояние воинских захоронений, увековечения памяти погибших при защите Отечества на мемориальных сооружениях и создания условий для сохранности воинских захоронений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Ачуевского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Реализация муниципальной программы обеспечит увековечение памяти погибших при защите Отечества и будет способствовать патриотическому воспитанию граждан.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sub_303"/>
      <w:r w:rsidRPr="00E122B9">
        <w:rPr>
          <w:rFonts w:ascii="Times New Roman" w:hAnsi="Times New Roman"/>
          <w:sz w:val="28"/>
          <w:szCs w:val="28"/>
          <w:lang w:eastAsia="ar-SA"/>
        </w:rPr>
        <w:t>Исходя из основных направлений военно-мемориальной работы в сфере увековечения памяти погибших при защите Отечества, включающей комплекс задач по обустройству мест захоронения, содержанию воинских захоронений, укреплению особого отношения со стороны государства к воинским захоронениям, дополнительной реализации форм увековечения памяти погибших при защите Отечества предусматривается решение следующих основных задач: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sub_3031"/>
      <w:bookmarkEnd w:id="1"/>
      <w:r w:rsidRPr="00E122B9">
        <w:rPr>
          <w:rFonts w:ascii="Times New Roman" w:hAnsi="Times New Roman"/>
          <w:sz w:val="28"/>
          <w:szCs w:val="28"/>
          <w:lang w:eastAsia="ar-SA"/>
        </w:rPr>
        <w:t xml:space="preserve">1) восстановление (ремонт, благоустройство) воинских захоронений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Славянского района</w:t>
      </w:r>
      <w:r w:rsidRPr="00E122B9">
        <w:rPr>
          <w:rFonts w:ascii="Times New Roman" w:hAnsi="Times New Roman"/>
          <w:sz w:val="28"/>
          <w:szCs w:val="28"/>
          <w:lang w:eastAsia="ar-SA"/>
        </w:rPr>
        <w:t>;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sub_304"/>
      <w:bookmarkEnd w:id="2"/>
      <w:r w:rsidRPr="00E122B9">
        <w:rPr>
          <w:rFonts w:ascii="Times New Roman" w:hAnsi="Times New Roman"/>
          <w:sz w:val="28"/>
          <w:szCs w:val="28"/>
          <w:lang w:eastAsia="ar-SA"/>
        </w:rPr>
        <w:t>Реализация Программы будет осуществляться в 2021 год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E122B9">
        <w:rPr>
          <w:rFonts w:ascii="Times New Roman" w:hAnsi="Times New Roman"/>
          <w:sz w:val="28"/>
          <w:szCs w:val="28"/>
          <w:lang w:eastAsia="ar-SA"/>
        </w:rPr>
        <w:t>.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" w:name="sub_305"/>
      <w:bookmarkEnd w:id="3"/>
      <w:r w:rsidRPr="00E122B9">
        <w:rPr>
          <w:rFonts w:ascii="Times New Roman" w:hAnsi="Times New Roman"/>
          <w:sz w:val="28"/>
          <w:szCs w:val="28"/>
          <w:lang w:eastAsia="ar-SA"/>
        </w:rPr>
        <w:t>Программа представляет собой комплекс взаимосвязанных мероприятий, обеспечивающих эффективное решение проблем в области достойного увековечения памяти погибших при защите Отечества и требующих принятия взаимосвязанных решений на федеральном и региональном уровнях власти.</w:t>
      </w:r>
      <w:bookmarkEnd w:id="4"/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</w:t>
      </w:r>
      <w:r w:rsidRPr="00E122B9">
        <w:rPr>
          <w:rFonts w:ascii="Times New Roman" w:hAnsi="Times New Roman"/>
          <w:b/>
          <w:sz w:val="28"/>
          <w:szCs w:val="28"/>
          <w:lang w:eastAsia="ar-SA"/>
        </w:rPr>
        <w:t xml:space="preserve"> Этапы и сроки реализации Программы</w:t>
      </w:r>
    </w:p>
    <w:p w:rsidR="00792EFB" w:rsidRPr="00E122B9" w:rsidRDefault="00792EFB" w:rsidP="00E122B9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Меро</w:t>
      </w:r>
      <w:r>
        <w:rPr>
          <w:rFonts w:ascii="Times New Roman" w:hAnsi="Times New Roman"/>
          <w:sz w:val="28"/>
          <w:szCs w:val="28"/>
          <w:lang w:eastAsia="ar-SA"/>
        </w:rPr>
        <w:t>приятия программы реализуются в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2021 год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 и предусматрива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E122B9">
        <w:rPr>
          <w:rFonts w:ascii="Times New Roman" w:hAnsi="Times New Roman"/>
          <w:sz w:val="28"/>
          <w:szCs w:val="28"/>
          <w:lang w:eastAsia="ar-SA"/>
        </w:rPr>
        <w:t>т:</w:t>
      </w:r>
    </w:p>
    <w:p w:rsidR="00792EFB" w:rsidRPr="00E122B9" w:rsidRDefault="00792EFB" w:rsidP="00E122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- Восстановление (ремонт, благоустройство) воинских захоронений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>ского сельского поселения;</w:t>
      </w: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sz w:val="28"/>
          <w:szCs w:val="28"/>
          <w:lang w:eastAsia="ar-SA"/>
        </w:rPr>
        <w:t>3. Система программных мероприятий</w:t>
      </w:r>
    </w:p>
    <w:p w:rsidR="00792EFB" w:rsidRPr="00E122B9" w:rsidRDefault="00792EFB" w:rsidP="00E122B9">
      <w:pPr>
        <w:suppressAutoHyphens/>
        <w:spacing w:after="0" w:line="240" w:lineRule="auto"/>
        <w:ind w:right="-29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В соответствии с поставленными целями и задачами реализация Программы осуществляется через систему программных мероприятий, направленных на восстановление (ремонт, благоустройство) воинских захоронений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Славянского района</w:t>
      </w:r>
      <w:r w:rsidRPr="00E122B9">
        <w:rPr>
          <w:rFonts w:ascii="Times New Roman" w:hAnsi="Times New Roman"/>
          <w:sz w:val="28"/>
          <w:szCs w:val="28"/>
          <w:lang w:eastAsia="ar-SA"/>
        </w:rPr>
        <w:t>. Перечень основных мероприятий по реализации Программы представлен в приложении № 1 к Программе.</w:t>
      </w:r>
    </w:p>
    <w:p w:rsidR="00792EFB" w:rsidRDefault="00792EFB" w:rsidP="00BA5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Default="00792EFB" w:rsidP="00BA5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Default="00792EFB" w:rsidP="00BA5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Default="00792EFB" w:rsidP="00BA5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Default="00792EFB" w:rsidP="00BA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sz w:val="28"/>
          <w:szCs w:val="28"/>
          <w:lang w:eastAsia="ar-SA"/>
        </w:rPr>
        <w:t>4. Ресурсное обеспечение Программы</w:t>
      </w:r>
    </w:p>
    <w:p w:rsidR="00792EFB" w:rsidRDefault="00792EFB" w:rsidP="00BA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BA5478" w:rsidRDefault="00792EFB" w:rsidP="00434E31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bCs/>
          <w:sz w:val="28"/>
          <w:szCs w:val="28"/>
          <w:lang w:eastAsia="ar-SA"/>
        </w:rPr>
        <w:t xml:space="preserve">Финансирование мероприятий Программы осуществляется за счет средств федерального, краевого и местного бюджета </w:t>
      </w:r>
      <w:r w:rsidRPr="00E122B9">
        <w:rPr>
          <w:rFonts w:ascii="Times New Roman" w:hAnsi="Times New Roman"/>
          <w:sz w:val="28"/>
          <w:szCs w:val="28"/>
          <w:lang w:eastAsia="ar-SA"/>
        </w:rPr>
        <w:t>(</w:t>
      </w:r>
      <w:r w:rsidRPr="00E122B9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 Перечнем мероприятий по реализации Программы (приложения №1). </w:t>
      </w:r>
    </w:p>
    <w:p w:rsidR="00792EFB" w:rsidRPr="00E122B9" w:rsidRDefault="00792EFB" w:rsidP="00E122B9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Общий объем финансирования Программы составляет:</w:t>
      </w:r>
      <w:r w:rsidRPr="000B0D8E">
        <w:rPr>
          <w:rFonts w:ascii="Times New Roman" w:hAnsi="Times New Roman"/>
          <w:sz w:val="28"/>
          <w:szCs w:val="28"/>
          <w:lang w:eastAsia="ar-SA"/>
        </w:rPr>
        <w:t xml:space="preserve"> в 2021 год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0B0D8E">
        <w:rPr>
          <w:rFonts w:ascii="Times New Roman" w:hAnsi="Times New Roman"/>
          <w:sz w:val="28"/>
          <w:szCs w:val="28"/>
          <w:lang w:eastAsia="ar-SA"/>
        </w:rPr>
        <w:t xml:space="preserve"> – 542,089 тыс. рублей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92EFB" w:rsidRPr="00E122B9" w:rsidRDefault="00792EFB" w:rsidP="00E122B9">
      <w:pPr>
        <w:suppressAutoHyphens/>
        <w:spacing w:after="0" w:line="240" w:lineRule="auto"/>
        <w:ind w:right="-29" w:firstLine="1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0D8E">
        <w:rPr>
          <w:rFonts w:ascii="Times New Roman" w:hAnsi="Times New Roman"/>
          <w:sz w:val="28"/>
          <w:szCs w:val="28"/>
          <w:lang w:eastAsia="ar-SA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0B0D8E">
        <w:rPr>
          <w:rFonts w:ascii="Times New Roman" w:hAnsi="Times New Roman"/>
          <w:sz w:val="28"/>
          <w:szCs w:val="28"/>
          <w:lang w:eastAsia="ar-SA"/>
        </w:rPr>
        <w:t>ского сельского поселения на очередной год и плановый период.</w:t>
      </w:r>
    </w:p>
    <w:p w:rsidR="00792EFB" w:rsidRPr="00E122B9" w:rsidRDefault="00792EFB" w:rsidP="00E122B9">
      <w:pPr>
        <w:tabs>
          <w:tab w:val="left" w:pos="340"/>
        </w:tabs>
        <w:spacing w:after="12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sz w:val="28"/>
          <w:szCs w:val="28"/>
          <w:lang w:eastAsia="ar-SA"/>
        </w:rPr>
        <w:t>5. Оценка эффективности и последствий реализации Программы</w:t>
      </w:r>
    </w:p>
    <w:p w:rsidR="00792EFB" w:rsidRPr="00BA5478" w:rsidRDefault="00792EFB" w:rsidP="00BA5478">
      <w:pPr>
        <w:tabs>
          <w:tab w:val="left" w:pos="3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sz w:val="28"/>
          <w:szCs w:val="28"/>
          <w:lang w:eastAsia="ar-SA"/>
        </w:rPr>
        <w:t>(ожидаемые конечные результаты реализации Программы, важнейшие целевые показатели - количественные и качественные характеристики проблем, решаемых программой, или изменение темпов их роста)</w:t>
      </w:r>
    </w:p>
    <w:p w:rsidR="00792EFB" w:rsidRPr="00E122B9" w:rsidRDefault="00792EFB" w:rsidP="00E122B9">
      <w:pPr>
        <w:suppressAutoHyphens/>
        <w:spacing w:after="0" w:line="240" w:lineRule="auto"/>
        <w:ind w:right="-2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Оценка эффективности будет производиться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назначениями.</w:t>
      </w: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Методика оценки эффективности реализации Программы приведена в приложении № 2 к настоящей Программе.</w:t>
      </w: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Ачуев</w:t>
      </w:r>
      <w:r w:rsidRPr="00E122B9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Е.В.Теленьга</w:t>
      </w:r>
      <w:r w:rsidRPr="00E122B9">
        <w:rPr>
          <w:rFonts w:ascii="Times New Roman" w:hAnsi="Times New Roman"/>
          <w:sz w:val="28"/>
          <w:szCs w:val="28"/>
        </w:rPr>
        <w:t xml:space="preserve">  </w:t>
      </w: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BA5478">
      <w:pPr>
        <w:suppressAutoHyphens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BA5478" w:rsidRDefault="00792EFB" w:rsidP="00BA547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4"/>
        </w:rPr>
      </w:pPr>
      <w:r w:rsidRPr="00BA5478">
        <w:rPr>
          <w:rFonts w:ascii="Times New Roman" w:hAnsi="Times New Roman"/>
          <w:sz w:val="28"/>
          <w:szCs w:val="24"/>
        </w:rPr>
        <w:t>Приложение № 1</w:t>
      </w:r>
    </w:p>
    <w:p w:rsidR="00792EFB" w:rsidRPr="00E122B9" w:rsidRDefault="00792EFB" w:rsidP="00BA547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122B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92EFB" w:rsidRPr="00E122B9" w:rsidRDefault="00792EFB" w:rsidP="00BA547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20.01.2020 № 13</w:t>
      </w: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122B9">
        <w:rPr>
          <w:rFonts w:ascii="Times New Roman" w:hAnsi="Times New Roman"/>
          <w:b/>
          <w:bCs/>
          <w:sz w:val="24"/>
          <w:szCs w:val="24"/>
          <w:lang w:eastAsia="ar-SA"/>
        </w:rPr>
        <w:t>ПЕРЕЧЕНЬ</w:t>
      </w:r>
    </w:p>
    <w:p w:rsidR="00792EFB" w:rsidRPr="00E122B9" w:rsidRDefault="00792EFB" w:rsidP="00E122B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bCs/>
          <w:sz w:val="28"/>
          <w:szCs w:val="28"/>
          <w:lang w:eastAsia="ar-SA"/>
        </w:rPr>
        <w:t>мероприятий по реализации муниципальной Программы</w:t>
      </w:r>
    </w:p>
    <w:p w:rsidR="00792EFB" w:rsidRPr="00E122B9" w:rsidRDefault="00792EFB" w:rsidP="00E122B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«Увековече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>ние памяти погибших при защите Отечества</w:t>
      </w:r>
      <w:r w:rsidRPr="00E122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Славянского района 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>»</w:t>
      </w:r>
    </w:p>
    <w:p w:rsidR="00792EFB" w:rsidRPr="00E122B9" w:rsidRDefault="00792EFB" w:rsidP="00E122B9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2"/>
        <w:gridCol w:w="2836"/>
        <w:gridCol w:w="3258"/>
      </w:tblGrid>
      <w:tr w:rsidR="00792EFB" w:rsidRPr="00174FD7" w:rsidTr="00BA5478">
        <w:trPr>
          <w:trHeight w:val="345"/>
        </w:trPr>
        <w:tc>
          <w:tcPr>
            <w:tcW w:w="1828" w:type="pct"/>
            <w:vMerge w:val="restar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муниципальной программы, подпрограммы, </w:t>
            </w:r>
          </w:p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</w:p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</w:t>
            </w:r>
          </w:p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финансирования</w:t>
            </w:r>
          </w:p>
        </w:tc>
        <w:tc>
          <w:tcPr>
            <w:tcW w:w="1697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финансовых ресурсов, тыс. рублей</w:t>
            </w:r>
          </w:p>
        </w:tc>
      </w:tr>
      <w:tr w:rsidR="00792EFB" w:rsidRPr="00174FD7" w:rsidTr="00BA5478">
        <w:trPr>
          <w:trHeight w:val="1590"/>
        </w:trPr>
        <w:tc>
          <w:tcPr>
            <w:tcW w:w="1828" w:type="pct"/>
            <w:vMerge/>
            <w:vAlign w:val="center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7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</w:tc>
      </w:tr>
      <w:tr w:rsidR="00792EFB" w:rsidRPr="00174FD7" w:rsidTr="00BA5478">
        <w:tc>
          <w:tcPr>
            <w:tcW w:w="1828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7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92EFB" w:rsidRPr="00174FD7" w:rsidTr="00BA5478">
        <w:tc>
          <w:tcPr>
            <w:tcW w:w="1828" w:type="pct"/>
            <w:vMerge w:val="restart"/>
          </w:tcPr>
          <w:p w:rsidR="00792EFB" w:rsidRPr="00E122B9" w:rsidRDefault="00792EFB" w:rsidP="00FE2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Pr="00E122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Восстановление (ремонт, благоустройство) воинских захоронений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Ачуев</w:t>
            </w: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ского сельского поселения;</w:t>
            </w: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697" w:type="pct"/>
          </w:tcPr>
          <w:p w:rsidR="00792EFB" w:rsidRPr="000B0D8E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0D8E">
              <w:rPr>
                <w:rFonts w:ascii="Times New Roman" w:hAnsi="Times New Roman"/>
                <w:sz w:val="28"/>
                <w:szCs w:val="28"/>
                <w:lang w:eastAsia="ar-SA"/>
              </w:rPr>
              <w:t>542,089</w:t>
            </w:r>
          </w:p>
        </w:tc>
      </w:tr>
      <w:tr w:rsidR="00792EFB" w:rsidRPr="00174FD7" w:rsidTr="00BA5478">
        <w:tc>
          <w:tcPr>
            <w:tcW w:w="1828" w:type="pct"/>
            <w:vMerge/>
            <w:vAlign w:val="center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бюджет, областной бюджет</w:t>
            </w:r>
          </w:p>
        </w:tc>
        <w:tc>
          <w:tcPr>
            <w:tcW w:w="1697" w:type="pct"/>
          </w:tcPr>
          <w:p w:rsidR="00792EFB" w:rsidRPr="000B0D8E" w:rsidRDefault="00792EFB" w:rsidP="00B56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0D8E">
              <w:rPr>
                <w:rFonts w:ascii="Times New Roman" w:hAnsi="Times New Roman"/>
                <w:sz w:val="28"/>
                <w:szCs w:val="28"/>
                <w:lang w:eastAsia="ar-SA"/>
              </w:rPr>
              <w:t>399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,628</w:t>
            </w:r>
            <w:r w:rsidRPr="000B0D8E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</w:tr>
      <w:tr w:rsidR="00792EFB" w:rsidRPr="00174FD7" w:rsidTr="00BA5478">
        <w:tc>
          <w:tcPr>
            <w:tcW w:w="1828" w:type="pct"/>
            <w:vMerge/>
            <w:vAlign w:val="center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697" w:type="pct"/>
          </w:tcPr>
          <w:p w:rsidR="00792EFB" w:rsidRPr="00BA5478" w:rsidRDefault="00792EFB" w:rsidP="00B56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56A6C">
              <w:rPr>
                <w:rFonts w:ascii="Times New Roman" w:hAnsi="Times New Roman"/>
                <w:sz w:val="28"/>
                <w:szCs w:val="28"/>
                <w:lang w:eastAsia="ar-SA"/>
              </w:rPr>
              <w:t>126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,198</w:t>
            </w:r>
            <w:r w:rsidRPr="00B56A6C"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</w:tr>
      <w:tr w:rsidR="00792EFB" w:rsidRPr="00174FD7" w:rsidTr="00BA5478">
        <w:tc>
          <w:tcPr>
            <w:tcW w:w="1828" w:type="pct"/>
            <w:vMerge/>
            <w:vAlign w:val="center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6" w:type="pct"/>
          </w:tcPr>
          <w:p w:rsidR="00792EFB" w:rsidRPr="00E122B9" w:rsidRDefault="00792EFB" w:rsidP="0031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697" w:type="pct"/>
          </w:tcPr>
          <w:p w:rsidR="00792EFB" w:rsidRPr="00BA5478" w:rsidRDefault="00792EFB" w:rsidP="00B56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B56A6C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,262</w:t>
            </w:r>
            <w:r w:rsidRPr="00B56A6C">
              <w:rPr>
                <w:rFonts w:ascii="Times New Roman" w:hAnsi="Times New Roman"/>
                <w:sz w:val="28"/>
                <w:szCs w:val="28"/>
                <w:lang w:eastAsia="ar-SA"/>
              </w:rPr>
              <w:t>67</w:t>
            </w:r>
          </w:p>
        </w:tc>
      </w:tr>
      <w:tr w:rsidR="00792EFB" w:rsidRPr="00174FD7" w:rsidTr="00BA5478">
        <w:tc>
          <w:tcPr>
            <w:tcW w:w="1828" w:type="pct"/>
            <w:vMerge/>
            <w:vAlign w:val="center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Средства бюджетов государственных внебюджетных фондов</w:t>
            </w:r>
          </w:p>
        </w:tc>
        <w:tc>
          <w:tcPr>
            <w:tcW w:w="1697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92EFB" w:rsidRPr="00174FD7" w:rsidTr="00BA5478">
        <w:tc>
          <w:tcPr>
            <w:tcW w:w="1828" w:type="pct"/>
            <w:vMerge/>
            <w:vAlign w:val="center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6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Средства юридических и физических лиц</w:t>
            </w:r>
          </w:p>
        </w:tc>
        <w:tc>
          <w:tcPr>
            <w:tcW w:w="1697" w:type="pct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Глава </w:t>
      </w: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</w:t>
      </w:r>
      <w:r w:rsidRPr="00E122B9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Е.В.Теленьга</w:t>
      </w:r>
      <w:r w:rsidRPr="00E122B9">
        <w:rPr>
          <w:rFonts w:ascii="Times New Roman" w:hAnsi="Times New Roman"/>
          <w:sz w:val="28"/>
          <w:szCs w:val="28"/>
        </w:rPr>
        <w:t xml:space="preserve">  </w:t>
      </w:r>
    </w:p>
    <w:p w:rsidR="00792EFB" w:rsidRPr="00E122B9" w:rsidRDefault="00792EFB" w:rsidP="00E122B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792EFB" w:rsidRPr="00434E31" w:rsidRDefault="00792EFB" w:rsidP="00434E31">
      <w:pPr>
        <w:spacing w:after="0" w:line="240" w:lineRule="auto"/>
        <w:ind w:left="5954" w:hanging="554"/>
        <w:rPr>
          <w:rFonts w:ascii="Times New Roman" w:hAnsi="Times New Roman"/>
          <w:sz w:val="28"/>
          <w:szCs w:val="28"/>
        </w:rPr>
      </w:pPr>
      <w:r w:rsidRPr="00434E31">
        <w:rPr>
          <w:rFonts w:ascii="Times New Roman" w:hAnsi="Times New Roman"/>
          <w:sz w:val="28"/>
          <w:szCs w:val="28"/>
        </w:rPr>
        <w:t>Приложение № 2</w:t>
      </w:r>
    </w:p>
    <w:p w:rsidR="00792EFB" w:rsidRPr="00434E31" w:rsidRDefault="00792EFB" w:rsidP="00434E31">
      <w:pPr>
        <w:spacing w:after="0" w:line="240" w:lineRule="auto"/>
        <w:ind w:left="5954" w:hanging="554"/>
        <w:rPr>
          <w:rFonts w:ascii="Times New Roman" w:hAnsi="Times New Roman"/>
          <w:sz w:val="28"/>
          <w:szCs w:val="28"/>
        </w:rPr>
      </w:pPr>
      <w:r w:rsidRPr="00434E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2EFB" w:rsidRPr="00434E31" w:rsidRDefault="00792EFB" w:rsidP="00434E31">
      <w:pPr>
        <w:spacing w:after="0" w:line="240" w:lineRule="auto"/>
        <w:ind w:left="5954" w:hanging="5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20.01.2020 № 13</w:t>
      </w:r>
    </w:p>
    <w:p w:rsidR="00792EFB" w:rsidRPr="00434E31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122B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АДРЕСНЫЙ ПЕРЕЧЕНЬ</w:t>
      </w:r>
    </w:p>
    <w:p w:rsidR="00792EFB" w:rsidRPr="00E122B9" w:rsidRDefault="00792EFB" w:rsidP="00E122B9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122B9">
        <w:rPr>
          <w:rFonts w:ascii="Times New Roman" w:hAnsi="Times New Roman"/>
          <w:b/>
          <w:bCs/>
          <w:sz w:val="28"/>
          <w:szCs w:val="28"/>
          <w:lang w:eastAsia="ar-SA"/>
        </w:rPr>
        <w:t>мероприятий по реализации муниципальной Программы</w:t>
      </w:r>
    </w:p>
    <w:p w:rsidR="00792EFB" w:rsidRPr="00E122B9" w:rsidRDefault="00792EFB" w:rsidP="00E122B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«Увековече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ние памяти погибших при защите Отечества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Славянского района 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>»</w:t>
      </w:r>
    </w:p>
    <w:p w:rsidR="00792EFB" w:rsidRPr="00E122B9" w:rsidRDefault="00792EFB" w:rsidP="00E122B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3142"/>
        <w:gridCol w:w="3036"/>
        <w:gridCol w:w="1696"/>
        <w:gridCol w:w="1384"/>
      </w:tblGrid>
      <w:tr w:rsidR="00792EFB" w:rsidRPr="00174FD7" w:rsidTr="00CC04B2">
        <w:tc>
          <w:tcPr>
            <w:tcW w:w="607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7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Адрес и наименования</w:t>
            </w:r>
          </w:p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воинского захоронения</w:t>
            </w:r>
          </w:p>
        </w:tc>
        <w:tc>
          <w:tcPr>
            <w:tcW w:w="3343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Примерный вид работ, который предлагается выполнить </w:t>
            </w:r>
          </w:p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финансовых ресурсов, тыс. рублей</w:t>
            </w:r>
          </w:p>
        </w:tc>
        <w:tc>
          <w:tcPr>
            <w:tcW w:w="1384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792EFB" w:rsidRPr="00174FD7" w:rsidTr="00CC04B2">
        <w:tc>
          <w:tcPr>
            <w:tcW w:w="607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2B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7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2B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3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2B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2B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</w:tcPr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122B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792EFB" w:rsidRPr="00174FD7" w:rsidTr="00CC04B2">
        <w:tc>
          <w:tcPr>
            <w:tcW w:w="607" w:type="dxa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</w:tcPr>
          <w:p w:rsidR="00792EFB" w:rsidRPr="00174FD7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74FD7">
              <w:rPr>
                <w:rFonts w:ascii="Times New Roman" w:hAnsi="Times New Roman"/>
                <w:sz w:val="24"/>
                <w:szCs w:val="28"/>
              </w:rPr>
              <w:t xml:space="preserve">«Братская могила советских воинов, погибших в боях с фашистскими захватчиками, 1943 г.» </w:t>
            </w:r>
          </w:p>
          <w:p w:rsidR="00792EFB" w:rsidRPr="003A4EEE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4FD7">
              <w:rPr>
                <w:rFonts w:ascii="Times New Roman" w:hAnsi="Times New Roman"/>
                <w:sz w:val="24"/>
                <w:szCs w:val="28"/>
              </w:rPr>
              <w:t>х. Слободка, гражданское кладбище</w:t>
            </w:r>
          </w:p>
        </w:tc>
        <w:tc>
          <w:tcPr>
            <w:tcW w:w="3343" w:type="dxa"/>
          </w:tcPr>
          <w:p w:rsidR="00792EFB" w:rsidRPr="00B56A6C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6A6C">
              <w:rPr>
                <w:rFonts w:ascii="Times New Roman" w:hAnsi="Times New Roman"/>
                <w:lang w:eastAsia="ar-SA"/>
              </w:rPr>
              <w:t>Ремонт штукатурки фасадов, окраска фасадов.</w:t>
            </w:r>
          </w:p>
          <w:p w:rsidR="00792EFB" w:rsidRPr="00B56A6C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A6C">
              <w:rPr>
                <w:rFonts w:ascii="Times New Roman" w:hAnsi="Times New Roman"/>
                <w:lang w:eastAsia="ru-RU"/>
              </w:rPr>
              <w:t>Устройство бетонных плитных тротуаров.</w:t>
            </w:r>
          </w:p>
          <w:p w:rsidR="00792EFB" w:rsidRPr="00E122B9" w:rsidRDefault="00792EFB" w:rsidP="00B5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ru-RU"/>
              </w:rPr>
              <w:t>Замена ограждения</w:t>
            </w:r>
          </w:p>
          <w:p w:rsidR="00792EFB" w:rsidRPr="00E122B9" w:rsidRDefault="00792EFB" w:rsidP="00B5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85,859</w:t>
            </w:r>
          </w:p>
        </w:tc>
        <w:tc>
          <w:tcPr>
            <w:tcW w:w="1384" w:type="dxa"/>
          </w:tcPr>
          <w:p w:rsidR="00792EFB" w:rsidRPr="00E122B9" w:rsidRDefault="00792EFB" w:rsidP="00BA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EFB" w:rsidRPr="00174FD7" w:rsidTr="00CC04B2">
        <w:tc>
          <w:tcPr>
            <w:tcW w:w="607" w:type="dxa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</w:tcPr>
          <w:p w:rsidR="00792EFB" w:rsidRDefault="00792EFB" w:rsidP="003A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3A4EEE">
              <w:rPr>
                <w:rFonts w:ascii="Times New Roman" w:hAnsi="Times New Roman"/>
                <w:sz w:val="24"/>
                <w:szCs w:val="24"/>
                <w:lang w:eastAsia="ar-SA"/>
              </w:rPr>
              <w:t>Могила А. Чистякова, летчика, погибшего в бою с фашистскими захватчиками, 1943., перезахоронение 2005 г.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92EFB" w:rsidRPr="00E122B9" w:rsidRDefault="00792EFB" w:rsidP="003A4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 Ачуево, ул. Ленина (</w:t>
            </w:r>
            <w:r w:rsidRPr="003A4EEE">
              <w:rPr>
                <w:rFonts w:ascii="Times New Roman" w:hAnsi="Times New Roman"/>
                <w:sz w:val="24"/>
                <w:szCs w:val="24"/>
                <w:lang w:eastAsia="ar-SA"/>
              </w:rPr>
              <w:t>напротив дома № 19)</w:t>
            </w:r>
          </w:p>
          <w:p w:rsidR="00792EFB" w:rsidRPr="00E122B9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3" w:type="dxa"/>
          </w:tcPr>
          <w:p w:rsidR="00792EFB" w:rsidRPr="00B56A6C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6A6C">
              <w:rPr>
                <w:rFonts w:ascii="Times New Roman" w:hAnsi="Times New Roman"/>
                <w:lang w:eastAsia="ar-SA"/>
              </w:rPr>
              <w:t>Ремонт штукатурки фасадов, окраска фасадов.</w:t>
            </w:r>
          </w:p>
          <w:p w:rsidR="00792EFB" w:rsidRPr="00B56A6C" w:rsidRDefault="00792EFB" w:rsidP="00E1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A6C">
              <w:rPr>
                <w:rFonts w:ascii="Times New Roman" w:hAnsi="Times New Roman"/>
                <w:lang w:eastAsia="ru-RU"/>
              </w:rPr>
              <w:t>Устройство бетонных плитных тротуаров.</w:t>
            </w:r>
          </w:p>
          <w:p w:rsidR="00792EFB" w:rsidRPr="00E122B9" w:rsidRDefault="00792EFB" w:rsidP="00B5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456,230</w:t>
            </w:r>
          </w:p>
        </w:tc>
        <w:tc>
          <w:tcPr>
            <w:tcW w:w="1384" w:type="dxa"/>
          </w:tcPr>
          <w:p w:rsidR="00792EFB" w:rsidRPr="00E122B9" w:rsidRDefault="00792EFB" w:rsidP="00E12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2B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EFB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Глава </w:t>
      </w: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</w:t>
      </w:r>
      <w:r w:rsidRPr="00E122B9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Е.В.Теленьга</w:t>
      </w:r>
      <w:r w:rsidRPr="00E122B9">
        <w:rPr>
          <w:rFonts w:ascii="Times New Roman" w:hAnsi="Times New Roman"/>
          <w:sz w:val="28"/>
          <w:szCs w:val="28"/>
        </w:rPr>
        <w:t xml:space="preserve">  </w:t>
      </w:r>
    </w:p>
    <w:p w:rsidR="00792EFB" w:rsidRPr="00E122B9" w:rsidRDefault="00792EFB" w:rsidP="00E122B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2EFB" w:rsidRPr="00434E31" w:rsidRDefault="00792EFB" w:rsidP="00434E31">
      <w:pPr>
        <w:spacing w:after="0" w:line="240" w:lineRule="auto"/>
        <w:ind w:left="5040" w:firstLine="540"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br w:type="page"/>
      </w:r>
      <w:r w:rsidRPr="00434E31">
        <w:rPr>
          <w:rFonts w:ascii="Times New Roman" w:hAnsi="Times New Roman"/>
          <w:sz w:val="28"/>
          <w:szCs w:val="28"/>
        </w:rPr>
        <w:t>Приложение № 3</w:t>
      </w:r>
    </w:p>
    <w:p w:rsidR="00792EFB" w:rsidRPr="00434E31" w:rsidRDefault="00792EFB" w:rsidP="00434E31">
      <w:pPr>
        <w:spacing w:after="0" w:line="240" w:lineRule="auto"/>
        <w:ind w:left="5040" w:firstLine="540"/>
        <w:rPr>
          <w:rFonts w:ascii="Times New Roman" w:hAnsi="Times New Roman"/>
          <w:sz w:val="28"/>
          <w:szCs w:val="28"/>
        </w:rPr>
      </w:pPr>
      <w:r w:rsidRPr="00434E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2EFB" w:rsidRPr="00434E31" w:rsidRDefault="00792EFB" w:rsidP="00434E31">
      <w:pPr>
        <w:spacing w:after="0" w:line="240" w:lineRule="auto"/>
        <w:ind w:left="50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20.01.2020 № 13</w:t>
      </w: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792EFB" w:rsidRPr="00E122B9" w:rsidRDefault="00792EFB" w:rsidP="00E122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122B9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Методика</w:t>
      </w:r>
    </w:p>
    <w:p w:rsidR="00792EFB" w:rsidRPr="00E122B9" w:rsidRDefault="00792EFB" w:rsidP="00E122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122B9">
        <w:rPr>
          <w:rFonts w:ascii="Times New Roman" w:hAnsi="Times New Roman"/>
          <w:bCs/>
          <w:color w:val="000000"/>
          <w:sz w:val="28"/>
          <w:szCs w:val="28"/>
          <w:lang w:eastAsia="ar-SA"/>
        </w:rPr>
        <w:t>оценки эффективности реализации муниципальной программы</w:t>
      </w:r>
    </w:p>
    <w:p w:rsidR="00792EFB" w:rsidRPr="00E122B9" w:rsidRDefault="00792EFB" w:rsidP="00E122B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ние памяти погибших при защите Отечества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>ского сельского поселения Славянского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>»</w:t>
      </w:r>
    </w:p>
    <w:p w:rsidR="00792EFB" w:rsidRPr="00E122B9" w:rsidRDefault="00792EFB" w:rsidP="00E122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122B9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92EFB" w:rsidRPr="00E122B9" w:rsidRDefault="00792EFB" w:rsidP="00E122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color w:val="000000"/>
          <w:sz w:val="28"/>
          <w:szCs w:val="28"/>
        </w:rPr>
        <w:t xml:space="preserve"> Оценка эффективности реализации Программы (далее - оценка) осуществляется муниципальным заказчиком - координатором муниципальной программы </w:t>
      </w:r>
      <w:r>
        <w:rPr>
          <w:rFonts w:ascii="Times New Roman" w:hAnsi="Times New Roman"/>
          <w:sz w:val="28"/>
          <w:szCs w:val="28"/>
          <w:lang w:eastAsia="ar-SA"/>
        </w:rPr>
        <w:t>«Увековече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ние памяти погибших при защите Отечества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Ачуев</w:t>
      </w:r>
      <w:r w:rsidRPr="00E122B9"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Славянского района на </w:t>
      </w:r>
      <w:r>
        <w:rPr>
          <w:rFonts w:ascii="Times New Roman" w:hAnsi="Times New Roman"/>
          <w:sz w:val="28"/>
          <w:szCs w:val="28"/>
          <w:lang w:eastAsia="ar-SA"/>
        </w:rPr>
        <w:t>2021 год</w:t>
      </w:r>
      <w:r w:rsidRPr="00E122B9">
        <w:rPr>
          <w:rFonts w:ascii="Times New Roman" w:hAnsi="Times New Roman"/>
          <w:sz w:val="28"/>
          <w:szCs w:val="28"/>
          <w:lang w:eastAsia="ar-SA"/>
        </w:rPr>
        <w:t>»</w:t>
      </w: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>Оценка текущей эффективности реализации Программы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индикаторов.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 формуле: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С</w:t>
      </w:r>
      <w:r w:rsidRPr="00E122B9">
        <w:rPr>
          <w:rFonts w:ascii="Times New Roman" w:hAnsi="Times New Roman" w:cs="Arial"/>
          <w:lang w:eastAsia="ru-RU"/>
        </w:rPr>
        <w:t>д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= З</w:t>
      </w:r>
      <w:r w:rsidRPr="00E122B9">
        <w:rPr>
          <w:rFonts w:ascii="Times New Roman" w:hAnsi="Times New Roman" w:cs="Arial"/>
          <w:lang w:eastAsia="ru-RU"/>
        </w:rPr>
        <w:t>ф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>/З</w:t>
      </w:r>
      <w:r w:rsidRPr="00E122B9">
        <w:rPr>
          <w:rFonts w:ascii="Times New Roman" w:hAnsi="Times New Roman" w:cs="Arial"/>
          <w:lang w:eastAsia="ru-RU"/>
        </w:rPr>
        <w:t>п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* 100%,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rPr>
          <w:rFonts w:ascii="Times New Roman" w:hAnsi="Times New Roman" w:cs="Arial"/>
          <w:sz w:val="28"/>
          <w:szCs w:val="20"/>
          <w:lang w:eastAsia="ru-RU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где: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С</w:t>
      </w:r>
      <w:r w:rsidRPr="00E122B9">
        <w:rPr>
          <w:rFonts w:ascii="Times New Roman" w:hAnsi="Times New Roman" w:cs="Arial"/>
          <w:lang w:eastAsia="ru-RU"/>
        </w:rPr>
        <w:t>д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– степень достижения целей (решения задач);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З</w:t>
      </w:r>
      <w:r w:rsidRPr="00E122B9">
        <w:rPr>
          <w:rFonts w:ascii="Times New Roman" w:hAnsi="Times New Roman" w:cs="Arial"/>
          <w:lang w:eastAsia="ru-RU"/>
        </w:rPr>
        <w:t>ф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– фактическое значение целевого показателя (индикатора) муниципальной программы;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З</w:t>
      </w:r>
      <w:r w:rsidRPr="00E122B9">
        <w:rPr>
          <w:rFonts w:ascii="Times New Roman" w:hAnsi="Times New Roman" w:cs="Arial"/>
          <w:lang w:eastAsia="ru-RU"/>
        </w:rPr>
        <w:t>п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С</w:t>
      </w:r>
      <w:r w:rsidRPr="00E122B9">
        <w:rPr>
          <w:rFonts w:ascii="Times New Roman" w:hAnsi="Times New Roman" w:cs="Arial"/>
          <w:lang w:eastAsia="ru-RU"/>
        </w:rPr>
        <w:t>д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= З</w:t>
      </w:r>
      <w:r w:rsidRPr="00E122B9">
        <w:rPr>
          <w:rFonts w:ascii="Times New Roman" w:hAnsi="Times New Roman" w:cs="Arial"/>
          <w:lang w:eastAsia="ru-RU"/>
        </w:rPr>
        <w:t>п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>/З</w:t>
      </w:r>
      <w:r w:rsidRPr="00E122B9">
        <w:rPr>
          <w:rFonts w:ascii="Times New Roman" w:hAnsi="Times New Roman" w:cs="Arial"/>
          <w:lang w:eastAsia="ru-RU"/>
        </w:rPr>
        <w:t>ф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2.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 формуле: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У</w:t>
      </w:r>
      <w:r w:rsidRPr="00E122B9">
        <w:rPr>
          <w:rFonts w:ascii="Times New Roman" w:hAnsi="Times New Roman" w:cs="Arial"/>
          <w:lang w:eastAsia="ru-RU"/>
        </w:rPr>
        <w:t>ф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= Ф</w:t>
      </w:r>
      <w:r w:rsidRPr="00E122B9">
        <w:rPr>
          <w:rFonts w:ascii="Times New Roman" w:hAnsi="Times New Roman" w:cs="Arial"/>
          <w:lang w:eastAsia="ru-RU"/>
        </w:rPr>
        <w:t>ф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>/Ф</w:t>
      </w:r>
      <w:r w:rsidRPr="00E122B9">
        <w:rPr>
          <w:rFonts w:ascii="Times New Roman" w:hAnsi="Times New Roman" w:cs="Arial"/>
          <w:lang w:eastAsia="ru-RU"/>
        </w:rPr>
        <w:t>п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* 100%,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где: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У</w:t>
      </w:r>
      <w:r w:rsidRPr="00E122B9">
        <w:rPr>
          <w:rFonts w:ascii="Times New Roman" w:hAnsi="Times New Roman" w:cs="Arial"/>
          <w:lang w:eastAsia="ru-RU"/>
        </w:rPr>
        <w:t>ф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– уровень финансирования реализации основных мероприятий муниципальной программы;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Ф</w:t>
      </w:r>
      <w:r w:rsidRPr="00E122B9">
        <w:rPr>
          <w:rFonts w:ascii="Times New Roman" w:hAnsi="Times New Roman" w:cs="Arial"/>
          <w:lang w:eastAsia="ru-RU"/>
        </w:rPr>
        <w:t>ф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Ф</w:t>
      </w:r>
      <w:r w:rsidRPr="00E122B9">
        <w:rPr>
          <w:rFonts w:ascii="Times New Roman" w:hAnsi="Times New Roman" w:cs="Arial"/>
          <w:lang w:eastAsia="ru-RU"/>
        </w:rPr>
        <w:t>п</w:t>
      </w:r>
      <w:r w:rsidRPr="00E122B9">
        <w:rPr>
          <w:rFonts w:ascii="Times New Roman" w:hAnsi="Times New Roman" w:cs="Arial"/>
          <w:sz w:val="28"/>
          <w:szCs w:val="20"/>
          <w:lang w:eastAsia="ru-RU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E122B9">
        <w:rPr>
          <w:rFonts w:ascii="Times New Roman" w:hAnsi="Times New Roman" w:cs="Arial"/>
          <w:sz w:val="28"/>
          <w:szCs w:val="20"/>
          <w:lang w:eastAsia="ru-RU"/>
        </w:rPr>
        <w:t>3.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В случае если значение показателя результативности Программы   составляет: </w:t>
      </w:r>
    </w:p>
    <w:p w:rsidR="00792EFB" w:rsidRPr="00E122B9" w:rsidRDefault="00792EFB" w:rsidP="00E12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от 90 до 100 процентов, то эффективность реализации Программы оценивается как высокая; 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от 75 до 90 процентов, то эффективность реализации Программы оценивается как средняя; </w:t>
      </w: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22B9">
        <w:rPr>
          <w:rFonts w:ascii="Times New Roman" w:hAnsi="Times New Roman"/>
          <w:sz w:val="28"/>
          <w:szCs w:val="28"/>
          <w:lang w:eastAsia="ar-SA"/>
        </w:rPr>
        <w:t xml:space="preserve">ниже 75 процентов, то эффективность реализации Программы оценивается как низкая.  </w:t>
      </w:r>
    </w:p>
    <w:p w:rsidR="00792EFB" w:rsidRPr="00E122B9" w:rsidRDefault="00792EFB" w:rsidP="00E122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2EFB" w:rsidRPr="00E122B9" w:rsidRDefault="00792EFB" w:rsidP="00E122B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2EFB" w:rsidRPr="00E122B9" w:rsidRDefault="00792EFB" w:rsidP="00E122B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2EFB" w:rsidRPr="00E122B9" w:rsidRDefault="00792EFB" w:rsidP="00E122B9">
      <w:pPr>
        <w:suppressAutoHyphens/>
        <w:spacing w:after="0" w:line="240" w:lineRule="auto"/>
        <w:ind w:right="-29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Глава </w:t>
      </w: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</w:t>
      </w:r>
      <w:r w:rsidRPr="00E122B9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792EFB" w:rsidRPr="00E122B9" w:rsidRDefault="00792EFB" w:rsidP="00E122B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22B9"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Е.В.Теленьга</w:t>
      </w:r>
      <w:r w:rsidRPr="00E122B9">
        <w:rPr>
          <w:rFonts w:ascii="Times New Roman" w:hAnsi="Times New Roman"/>
          <w:sz w:val="28"/>
          <w:szCs w:val="28"/>
        </w:rPr>
        <w:t xml:space="preserve">  </w:t>
      </w:r>
    </w:p>
    <w:p w:rsidR="00792EFB" w:rsidRPr="00E122B9" w:rsidRDefault="00792EFB" w:rsidP="00E1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2EFB" w:rsidRPr="00E122B9" w:rsidRDefault="00792EFB" w:rsidP="00E122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792EFB" w:rsidRPr="00E122B9" w:rsidRDefault="00792EFB" w:rsidP="00E122B9"/>
    <w:sectPr w:rsidR="00792EFB" w:rsidRPr="00E122B9" w:rsidSect="0008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C5B"/>
    <w:multiLevelType w:val="hybridMultilevel"/>
    <w:tmpl w:val="9390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1525E3"/>
    <w:multiLevelType w:val="hybridMultilevel"/>
    <w:tmpl w:val="9390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95"/>
    <w:rsid w:val="00000071"/>
    <w:rsid w:val="0008780F"/>
    <w:rsid w:val="000B0D8E"/>
    <w:rsid w:val="00137CF1"/>
    <w:rsid w:val="00174FD7"/>
    <w:rsid w:val="00255734"/>
    <w:rsid w:val="002D12EC"/>
    <w:rsid w:val="00312521"/>
    <w:rsid w:val="003A4EEE"/>
    <w:rsid w:val="00434E31"/>
    <w:rsid w:val="00573372"/>
    <w:rsid w:val="005F4D0B"/>
    <w:rsid w:val="00683042"/>
    <w:rsid w:val="006C3D08"/>
    <w:rsid w:val="00707ED7"/>
    <w:rsid w:val="00773AB8"/>
    <w:rsid w:val="00792EFB"/>
    <w:rsid w:val="007B2EFB"/>
    <w:rsid w:val="00AF720D"/>
    <w:rsid w:val="00B56A6C"/>
    <w:rsid w:val="00BA5478"/>
    <w:rsid w:val="00BB241A"/>
    <w:rsid w:val="00C14F95"/>
    <w:rsid w:val="00C45624"/>
    <w:rsid w:val="00C857EB"/>
    <w:rsid w:val="00CC04B2"/>
    <w:rsid w:val="00E019A8"/>
    <w:rsid w:val="00E122B9"/>
    <w:rsid w:val="00ED55DB"/>
    <w:rsid w:val="00F75118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9</Pages>
  <Words>1999</Words>
  <Characters>11396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2020-01-21T10:20:00Z</cp:lastPrinted>
  <dcterms:created xsi:type="dcterms:W3CDTF">2020-01-21T06:17:00Z</dcterms:created>
  <dcterms:modified xsi:type="dcterms:W3CDTF">2020-03-15T12:58:00Z</dcterms:modified>
</cp:coreProperties>
</file>